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48"/>
          <w:szCs w:val="48"/>
          <w:rtl w:val="0"/>
        </w:rPr>
        <w:t xml:space="preserve">“Absorbing” Volunteers Into Staying Involved After a Big Election/Action</w:t>
      </w:r>
      <w:r w:rsidDel="00000000" w:rsidR="00000000" w:rsidRPr="00000000">
        <w:rPr>
          <w:rtl w:val="0"/>
        </w:rPr>
      </w:r>
    </w:p>
    <w:p w:rsidR="00000000" w:rsidDel="00000000" w:rsidP="00000000" w:rsidRDefault="00000000" w:rsidRPr="00000000" w14:paraId="0000000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3">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Most standard electoral programs pack up and leave after election day. At Sunrise, we are focused on building long-term political power for young people, so we need a plan to absorb volunteers who take action with us during elections into taking on more responsibility or leadership in Sunrise. </w:t>
      </w:r>
    </w:p>
    <w:p w:rsidR="00000000" w:rsidDel="00000000" w:rsidP="00000000" w:rsidRDefault="00000000" w:rsidRPr="00000000" w14:paraId="00000004">
      <w:pPr>
        <w:pageBreakBefore w:val="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5">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For an absorption plan to be truly effective, it’s important to make your plan BEFORE you do the electoral work you will be absorbing volunteers from, so you have paths in place for new Sunrisers who are super excited to get increasingly involved and take on more responsibility.</w:t>
      </w:r>
    </w:p>
    <w:p w:rsidR="00000000" w:rsidDel="00000000" w:rsidP="00000000" w:rsidRDefault="00000000" w:rsidRPr="00000000" w14:paraId="0000000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7">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8">
      <w:pPr>
        <w:pageBreakBefore w:val="0"/>
        <w:numPr>
          <w:ilvl w:val="0"/>
          <w:numId w:val="3"/>
        </w:numPr>
        <w:ind w:left="720" w:hanging="360"/>
        <w:rPr>
          <w:rFonts w:ascii="Source Sans Pro" w:cs="Source Sans Pro" w:eastAsia="Source Sans Pro" w:hAnsi="Source Sans Pro"/>
          <w:b w:val="1"/>
          <w:sz w:val="24"/>
          <w:szCs w:val="24"/>
        </w:rPr>
      </w:pPr>
      <w:hyperlink w:anchor="17z841cjnt2q">
        <w:r w:rsidDel="00000000" w:rsidR="00000000" w:rsidRPr="00000000">
          <w:rPr>
            <w:rFonts w:ascii="Source Sans Pro" w:cs="Source Sans Pro" w:eastAsia="Source Sans Pro" w:hAnsi="Source Sans Pro"/>
            <w:b w:val="1"/>
            <w:color w:val="1155cc"/>
            <w:sz w:val="24"/>
            <w:szCs w:val="24"/>
            <w:u w:val="single"/>
            <w:rtl w:val="0"/>
          </w:rPr>
          <w:t xml:space="preserve">Have 1:1s</w:t>
        </w:r>
      </w:hyperlink>
      <w:r w:rsidDel="00000000" w:rsidR="00000000" w:rsidRPr="00000000">
        <w:rPr>
          <w:rtl w:val="0"/>
        </w:rPr>
      </w:r>
    </w:p>
    <w:p w:rsidR="00000000" w:rsidDel="00000000" w:rsidP="00000000" w:rsidRDefault="00000000" w:rsidRPr="00000000" w14:paraId="00000009">
      <w:pPr>
        <w:pageBreakBefore w:val="0"/>
        <w:numPr>
          <w:ilvl w:val="0"/>
          <w:numId w:val="3"/>
        </w:numPr>
        <w:ind w:left="720" w:hanging="360"/>
        <w:rPr>
          <w:rFonts w:ascii="Source Sans Pro" w:cs="Source Sans Pro" w:eastAsia="Source Sans Pro" w:hAnsi="Source Sans Pro"/>
          <w:b w:val="1"/>
          <w:sz w:val="24"/>
          <w:szCs w:val="24"/>
        </w:rPr>
      </w:pPr>
      <w:hyperlink w:anchor="xbdjgtoiuyh5">
        <w:r w:rsidDel="00000000" w:rsidR="00000000" w:rsidRPr="00000000">
          <w:rPr>
            <w:rFonts w:ascii="Source Sans Pro" w:cs="Source Sans Pro" w:eastAsia="Source Sans Pro" w:hAnsi="Source Sans Pro"/>
            <w:b w:val="1"/>
            <w:color w:val="1155cc"/>
            <w:sz w:val="24"/>
            <w:szCs w:val="24"/>
            <w:u w:val="single"/>
            <w:rtl w:val="0"/>
          </w:rPr>
          <w:t xml:space="preserve">Frame and Debrief the Election</w:t>
        </w:r>
      </w:hyperlink>
      <w:r w:rsidDel="00000000" w:rsidR="00000000" w:rsidRPr="00000000">
        <w:rPr>
          <w:rtl w:val="0"/>
        </w:rPr>
      </w:r>
    </w:p>
    <w:p w:rsidR="00000000" w:rsidDel="00000000" w:rsidP="00000000" w:rsidRDefault="00000000" w:rsidRPr="00000000" w14:paraId="0000000A">
      <w:pPr>
        <w:pageBreakBefore w:val="0"/>
        <w:numPr>
          <w:ilvl w:val="0"/>
          <w:numId w:val="3"/>
        </w:numPr>
        <w:ind w:left="720" w:hanging="360"/>
        <w:rPr>
          <w:rFonts w:ascii="Source Sans Pro" w:cs="Source Sans Pro" w:eastAsia="Source Sans Pro" w:hAnsi="Source Sans Pro"/>
          <w:b w:val="1"/>
          <w:sz w:val="24"/>
          <w:szCs w:val="24"/>
        </w:rPr>
      </w:pPr>
      <w:hyperlink w:anchor="5ac9k3vxyowi">
        <w:r w:rsidDel="00000000" w:rsidR="00000000" w:rsidRPr="00000000">
          <w:rPr>
            <w:rFonts w:ascii="Source Sans Pro" w:cs="Source Sans Pro" w:eastAsia="Source Sans Pro" w:hAnsi="Source Sans Pro"/>
            <w:b w:val="1"/>
            <w:color w:val="1155cc"/>
            <w:sz w:val="24"/>
            <w:szCs w:val="24"/>
            <w:u w:val="single"/>
            <w:rtl w:val="0"/>
          </w:rPr>
          <w:t xml:space="preserve">Provide a Variety of Ways for New Sunrisers to Stay (More) Involved</w:t>
        </w:r>
      </w:hyperlink>
      <w:r w:rsidDel="00000000" w:rsidR="00000000" w:rsidRPr="00000000">
        <w:rPr>
          <w:rtl w:val="0"/>
        </w:rPr>
      </w:r>
    </w:p>
    <w:p w:rsidR="00000000" w:rsidDel="00000000" w:rsidP="00000000" w:rsidRDefault="00000000" w:rsidRPr="00000000" w14:paraId="0000000B">
      <w:pPr>
        <w:pageBreakBefore w:val="0"/>
        <w:numPr>
          <w:ilvl w:val="1"/>
          <w:numId w:val="3"/>
        </w:numPr>
        <w:ind w:left="1440" w:hanging="360"/>
        <w:rPr>
          <w:rFonts w:ascii="Source Sans Pro" w:cs="Source Sans Pro" w:eastAsia="Source Sans Pro" w:hAnsi="Source Sans Pro"/>
          <w:b w:val="1"/>
          <w:sz w:val="24"/>
          <w:szCs w:val="24"/>
        </w:rPr>
      </w:pPr>
      <w:hyperlink w:anchor="bc19z67b1j5q">
        <w:r w:rsidDel="00000000" w:rsidR="00000000" w:rsidRPr="00000000">
          <w:rPr>
            <w:rFonts w:ascii="Source Sans Pro" w:cs="Source Sans Pro" w:eastAsia="Source Sans Pro" w:hAnsi="Source Sans Pro"/>
            <w:b w:val="1"/>
            <w:color w:val="1155cc"/>
            <w:sz w:val="24"/>
            <w:szCs w:val="24"/>
            <w:u w:val="single"/>
            <w:rtl w:val="0"/>
          </w:rPr>
          <w:t xml:space="preserve">Low-Engagement Ways</w:t>
        </w:r>
      </w:hyperlink>
      <w:r w:rsidDel="00000000" w:rsidR="00000000" w:rsidRPr="00000000">
        <w:rPr>
          <w:rtl w:val="0"/>
        </w:rPr>
      </w:r>
    </w:p>
    <w:p w:rsidR="00000000" w:rsidDel="00000000" w:rsidP="00000000" w:rsidRDefault="00000000" w:rsidRPr="00000000" w14:paraId="0000000C">
      <w:pPr>
        <w:pageBreakBefore w:val="0"/>
        <w:numPr>
          <w:ilvl w:val="1"/>
          <w:numId w:val="3"/>
        </w:numPr>
        <w:ind w:left="1440" w:hanging="360"/>
        <w:rPr>
          <w:rFonts w:ascii="Source Sans Pro" w:cs="Source Sans Pro" w:eastAsia="Source Sans Pro" w:hAnsi="Source Sans Pro"/>
          <w:b w:val="1"/>
          <w:sz w:val="24"/>
          <w:szCs w:val="24"/>
        </w:rPr>
      </w:pPr>
      <w:hyperlink w:anchor="foxb3pcb0os6">
        <w:r w:rsidDel="00000000" w:rsidR="00000000" w:rsidRPr="00000000">
          <w:rPr>
            <w:rFonts w:ascii="Source Sans Pro" w:cs="Source Sans Pro" w:eastAsia="Source Sans Pro" w:hAnsi="Source Sans Pro"/>
            <w:b w:val="1"/>
            <w:color w:val="1155cc"/>
            <w:sz w:val="24"/>
            <w:szCs w:val="24"/>
            <w:u w:val="single"/>
            <w:rtl w:val="0"/>
          </w:rPr>
          <w:t xml:space="preserve">High-Engagement Ways</w:t>
        </w:r>
      </w:hyperlink>
      <w:r w:rsidDel="00000000" w:rsidR="00000000" w:rsidRPr="00000000">
        <w:rPr>
          <w:rtl w:val="0"/>
        </w:rPr>
      </w:r>
    </w:p>
    <w:p w:rsidR="00000000" w:rsidDel="00000000" w:rsidP="00000000" w:rsidRDefault="00000000" w:rsidRPr="00000000" w14:paraId="0000000D">
      <w:pPr>
        <w:pageBreakBefore w:val="0"/>
        <w:ind w:left="0" w:firstLine="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ab/>
      </w:r>
    </w:p>
    <w:p w:rsidR="00000000" w:rsidDel="00000000" w:rsidP="00000000" w:rsidRDefault="00000000" w:rsidRPr="00000000" w14:paraId="0000000E">
      <w:pPr>
        <w:pageBreakBefore w:val="0"/>
        <w:ind w:left="0" w:firstLine="0"/>
        <w:rPr>
          <w:rFonts w:ascii="Source Sans Pro" w:cs="Source Sans Pro" w:eastAsia="Source Sans Pro" w:hAnsi="Source Sans Pro"/>
          <w:b w:val="1"/>
          <w:sz w:val="28"/>
          <w:szCs w:val="28"/>
        </w:rPr>
      </w:pPr>
      <w:r w:rsidDel="00000000" w:rsidR="00000000" w:rsidRPr="00000000">
        <w:rPr>
          <w:rtl w:val="0"/>
        </w:rPr>
      </w:r>
    </w:p>
    <w:bookmarkStart w:colFirst="0" w:colLast="0" w:name="17z841cjnt2q" w:id="0"/>
    <w:bookmarkEnd w:id="0"/>
    <w:p w:rsidR="00000000" w:rsidDel="00000000" w:rsidP="00000000" w:rsidRDefault="00000000" w:rsidRPr="00000000" w14:paraId="0000000F">
      <w:pPr>
        <w:pageBreakBefore w:val="0"/>
        <w:numPr>
          <w:ilvl w:val="0"/>
          <w:numId w:val="1"/>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28"/>
          <w:szCs w:val="28"/>
          <w:rtl w:val="0"/>
        </w:rPr>
        <w:t xml:space="preserve">Set Yourself Up for Strong Absorption by Always Making Time for 1:1s</w:t>
      </w:r>
    </w:p>
    <w:p w:rsidR="00000000" w:rsidDel="00000000" w:rsidP="00000000" w:rsidRDefault="00000000" w:rsidRPr="00000000" w14:paraId="00000010">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1">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The best way to make sure you know which volunteers are excited to get more involved is to develop a practice in your hub of having 1 to 1 conversations</w:t>
      </w:r>
      <w:r w:rsidDel="00000000" w:rsidR="00000000" w:rsidRPr="00000000">
        <w:rPr>
          <w:rFonts w:ascii="Source Sans Pro" w:cs="Source Sans Pro" w:eastAsia="Source Sans Pro" w:hAnsi="Source Sans Pro"/>
          <w:rtl w:val="0"/>
        </w:rPr>
        <w:t xml:space="preserve"> with newly involved people after the first or second time you see them show up. This will help you get to know them and their stake in the issue, why they are interested in getting involved in Sunrise, their interests and skills and kind of work they would be most excited to plug into, as well as support they might need to take that next step.</w:t>
      </w:r>
    </w:p>
    <w:p w:rsidR="00000000" w:rsidDel="00000000" w:rsidP="00000000" w:rsidRDefault="00000000" w:rsidRPr="00000000" w14:paraId="00000012">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3">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Try and always have one or two options of ways that folks can take on more leadership.</w:t>
      </w:r>
      <w:r w:rsidDel="00000000" w:rsidR="00000000" w:rsidRPr="00000000">
        <w:rPr>
          <w:rFonts w:ascii="Source Sans Pro" w:cs="Source Sans Pro" w:eastAsia="Source Sans Pro" w:hAnsi="Source Sans Pro"/>
          <w:rtl w:val="0"/>
        </w:rPr>
        <w:t xml:space="preserve"> That way if you’re talking to someone after a canvass and it’s clear they want to get more involved in your hub, you’re ready with possibilities (was this their first canvass? Maybe they can help you buy the snacks next time, or deliver part of the training! Are they an experienced canvasser? They might be able to lead the entire canvass launch and training themselves in a couple weeks, after you meet up with them to show them the ropes). Always be open to suggestions they have that you’ve never thought of!</w:t>
      </w:r>
    </w:p>
    <w:p w:rsidR="00000000" w:rsidDel="00000000" w:rsidP="00000000" w:rsidRDefault="00000000" w:rsidRPr="00000000" w14:paraId="00000014">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5">
      <w:pPr>
        <w:pageBreakBefore w:val="0"/>
        <w:ind w:left="72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The first 1:1 you have with someone is called an Introduction 1:1. If you’ve already 1:1ed someone in the past but want to check in or see if they want to take on more leadership, </w:t>
      </w:r>
      <w:r w:rsidDel="00000000" w:rsidR="00000000" w:rsidRPr="00000000">
        <w:rPr>
          <w:rFonts w:ascii="Source Sans Pro" w:cs="Source Sans Pro" w:eastAsia="Source Sans Pro" w:hAnsi="Source Sans Pro"/>
          <w:b w:val="1"/>
          <w:rtl w:val="0"/>
        </w:rPr>
        <w:t xml:space="preserve">you can have another Maintenance or Escalation 1:1 with them!</w:t>
      </w:r>
    </w:p>
    <w:p w:rsidR="00000000" w:rsidDel="00000000" w:rsidP="00000000" w:rsidRDefault="00000000" w:rsidRPr="00000000" w14:paraId="00000016">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7">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For more on one to ones, check out the </w:t>
      </w:r>
      <w:hyperlink r:id="rId6">
        <w:r w:rsidDel="00000000" w:rsidR="00000000" w:rsidRPr="00000000">
          <w:rPr>
            <w:rFonts w:ascii="Source Sans Pro" w:cs="Source Sans Pro" w:eastAsia="Source Sans Pro" w:hAnsi="Source Sans Pro"/>
            <w:b w:val="1"/>
            <w:color w:val="1155cc"/>
            <w:u w:val="single"/>
            <w:rtl w:val="0"/>
          </w:rPr>
          <w:t xml:space="preserve">1:1 Guide</w:t>
        </w:r>
      </w:hyperlink>
      <w:r w:rsidDel="00000000" w:rsidR="00000000" w:rsidRPr="00000000">
        <w:rPr>
          <w:rtl w:val="0"/>
        </w:rPr>
        <w:t xml:space="preserve">, as well as this advice on </w:t>
      </w:r>
      <w:hyperlink r:id="rId7">
        <w:r w:rsidDel="00000000" w:rsidR="00000000" w:rsidRPr="00000000">
          <w:rPr>
            <w:rFonts w:ascii="Source Sans Pro" w:cs="Source Sans Pro" w:eastAsia="Source Sans Pro" w:hAnsi="Source Sans Pro"/>
            <w:color w:val="1155cc"/>
            <w:u w:val="single"/>
            <w:rtl w:val="0"/>
          </w:rPr>
          <w:t xml:space="preserve">Weathering Rejection</w:t>
        </w:r>
      </w:hyperlink>
      <w:r w:rsidDel="00000000" w:rsidR="00000000" w:rsidRPr="00000000">
        <w:rPr>
          <w:rFonts w:ascii="Source Sans Pro" w:cs="Source Sans Pro" w:eastAsia="Source Sans Pro" w:hAnsi="Source Sans Pro"/>
          <w:rtl w:val="0"/>
        </w:rPr>
        <w:t xml:space="preserve">. People might say no to your asks, and that’s okay too. You might even be able to connect more deeply with them during that conversation</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18">
      <w:pPr>
        <w:pageBreakBefore w:val="0"/>
        <w:ind w:left="720" w:firstLine="0"/>
        <w:rPr>
          <w:rFonts w:ascii="Source Sans Pro" w:cs="Source Sans Pro" w:eastAsia="Source Sans Pro" w:hAnsi="Source Sans Pro"/>
        </w:rPr>
      </w:pPr>
      <w:r w:rsidDel="00000000" w:rsidR="00000000" w:rsidRPr="00000000">
        <w:rPr>
          <w:rtl w:val="0"/>
        </w:rPr>
      </w:r>
    </w:p>
    <w:bookmarkStart w:colFirst="0" w:colLast="0" w:name="xbdjgtoiuyh5" w:id="1"/>
    <w:bookmarkEnd w:id="1"/>
    <w:p w:rsidR="00000000" w:rsidDel="00000000" w:rsidP="00000000" w:rsidRDefault="00000000" w:rsidRPr="00000000" w14:paraId="00000019">
      <w:pPr>
        <w:pageBreakBefore w:val="0"/>
        <w:numPr>
          <w:ilvl w:val="0"/>
          <w:numId w:val="1"/>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28"/>
          <w:szCs w:val="28"/>
          <w:rtl w:val="0"/>
        </w:rPr>
        <w:t xml:space="preserve">Frame and Debrief the Election</w:t>
        <w:br w:type="textWrapping"/>
      </w:r>
      <w:r w:rsidDel="00000000" w:rsidR="00000000" w:rsidRPr="00000000">
        <w:rPr>
          <w:rFonts w:ascii="Source Sans Pro" w:cs="Source Sans Pro" w:eastAsia="Source Sans Pro" w:hAnsi="Source Sans Pro"/>
          <w:rtl w:val="0"/>
        </w:rPr>
        <w:br w:type="textWrapping"/>
        <w:t xml:space="preserve">There are a couple different factors that will affect your absorption plan. The obvious factor is whether you win or lose your election. The most important factor in thinking about your post-election absorption plan is the way you frame the election. Building political power is only one tool at our disposal and elections should never be talked about as an end goal.  </w:t>
        <w:br w:type="textWrapping"/>
        <w:br w:type="textWrapping"/>
        <w:t xml:space="preserve">Elections are deeply intense and emotional work. You should meet with hub leaders and debrief the election with them. Ask for pluses and deltas. Solicit feedback on your own leadership, the hubs overall strategy, and check in with folks emotionally.</w:t>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bookmarkStart w:colFirst="0" w:colLast="0" w:name="5ac9k3vxyowi" w:id="2"/>
    <w:bookmarkEnd w:id="2"/>
    <w:p w:rsidR="00000000" w:rsidDel="00000000" w:rsidP="00000000" w:rsidRDefault="00000000" w:rsidRPr="00000000" w14:paraId="0000001B">
      <w:pPr>
        <w:pageBreakBefore w:val="0"/>
        <w:numPr>
          <w:ilvl w:val="0"/>
          <w:numId w:val="1"/>
        </w:numPr>
        <w:spacing w:after="20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8"/>
          <w:szCs w:val="28"/>
          <w:rtl w:val="0"/>
        </w:rPr>
        <w:t xml:space="preserve">Provide A Variety of Ways for Volunteers to Stay Involved.</w:t>
      </w:r>
    </w:p>
    <w:p w:rsidR="00000000" w:rsidDel="00000000" w:rsidP="00000000" w:rsidRDefault="00000000" w:rsidRPr="00000000" w14:paraId="0000001C">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Keep in mind that you want to provide a variety of ways for people to plug in.</w:t>
      </w:r>
      <w:r w:rsidDel="00000000" w:rsidR="00000000" w:rsidRPr="00000000">
        <w:rPr>
          <w:rFonts w:ascii="Source Sans Pro" w:cs="Source Sans Pro" w:eastAsia="Source Sans Pro" w:hAnsi="Source Sans Pro"/>
          <w:rtl w:val="0"/>
        </w:rPr>
        <w:t xml:space="preserve"> A lot of people will probably be ready to go all in with Sunrise… but a lot won’t! Make sure you provide different levels of engagement so that everyone can feel invested in the movement, whether they have a few minutes or several hours to spare. This concept is often referred to as the Ladder of Engagement--you can read more about it </w:t>
      </w:r>
      <w:hyperlink r:id="rId8">
        <w:r w:rsidDel="00000000" w:rsidR="00000000" w:rsidRPr="00000000">
          <w:rPr>
            <w:rFonts w:ascii="Source Sans Pro" w:cs="Source Sans Pro" w:eastAsia="Source Sans Pro" w:hAnsi="Source Sans Pro"/>
            <w:color w:val="1155cc"/>
            <w:u w:val="single"/>
            <w:rtl w:val="0"/>
          </w:rPr>
          <w:t xml:space="preserve">here</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1D">
      <w:pPr>
        <w:pageBreakBefore w:val="0"/>
        <w:ind w:left="720" w:firstLine="0"/>
        <w:rPr>
          <w:rFonts w:ascii="Source Sans Pro" w:cs="Source Sans Pro" w:eastAsia="Source Sans Pro" w:hAnsi="Source Sans Pro"/>
        </w:rPr>
      </w:pPr>
      <w:r w:rsidDel="00000000" w:rsidR="00000000" w:rsidRPr="00000000">
        <w:rPr>
          <w:rtl w:val="0"/>
        </w:rPr>
      </w:r>
    </w:p>
    <w:bookmarkStart w:colFirst="0" w:colLast="0" w:name="bc19z67b1j5q" w:id="3"/>
    <w:bookmarkEnd w:id="3"/>
    <w:p w:rsidR="00000000" w:rsidDel="00000000" w:rsidP="00000000" w:rsidRDefault="00000000" w:rsidRPr="00000000" w14:paraId="0000001E">
      <w:pPr>
        <w:pageBreakBefore w:val="0"/>
        <w:ind w:left="72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24"/>
          <w:szCs w:val="24"/>
          <w:rtl w:val="0"/>
        </w:rPr>
        <w:t xml:space="preserve">Low-engagement ways for folks to stay involved include:</w:t>
      </w:r>
      <w:r w:rsidDel="00000000" w:rsidR="00000000" w:rsidRPr="00000000">
        <w:rPr>
          <w:rtl w:val="0"/>
        </w:rPr>
      </w:r>
    </w:p>
    <w:p w:rsidR="00000000" w:rsidDel="00000000" w:rsidP="00000000" w:rsidRDefault="00000000" w:rsidRPr="00000000" w14:paraId="0000001F">
      <w:pPr>
        <w:pageBreakBefore w:val="0"/>
        <w:numPr>
          <w:ilvl w:val="0"/>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Call-in Days</w:t>
      </w:r>
    </w:p>
    <w:p w:rsidR="00000000" w:rsidDel="00000000" w:rsidP="00000000" w:rsidRDefault="00000000" w:rsidRPr="00000000" w14:paraId="00000020">
      <w:pPr>
        <w:pageBreakBefore w:val="0"/>
        <w:numPr>
          <w:ilvl w:val="0"/>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Sharing or watching livestreams</w:t>
      </w:r>
    </w:p>
    <w:p w:rsidR="00000000" w:rsidDel="00000000" w:rsidP="00000000" w:rsidRDefault="00000000" w:rsidRPr="00000000" w14:paraId="00000021">
      <w:pPr>
        <w:pageBreakBefore w:val="0"/>
        <w:numPr>
          <w:ilvl w:val="0"/>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Attending hub meetings</w:t>
      </w:r>
    </w:p>
    <w:p w:rsidR="00000000" w:rsidDel="00000000" w:rsidP="00000000" w:rsidRDefault="00000000" w:rsidRPr="00000000" w14:paraId="00000022">
      <w:pPr>
        <w:pageBreakBefore w:val="0"/>
        <w:numPr>
          <w:ilvl w:val="0"/>
          <w:numId w:val="2"/>
        </w:numPr>
        <w:ind w:left="1440" w:hanging="360"/>
        <w:rPr>
          <w:rFonts w:ascii="Source Sans Pro" w:cs="Source Sans Pro" w:eastAsia="Source Sans Pro" w:hAnsi="Source Sans Pro"/>
          <w:b w:val="1"/>
          <w:u w:val="none"/>
        </w:rPr>
      </w:pPr>
      <w:r w:rsidDel="00000000" w:rsidR="00000000" w:rsidRPr="00000000">
        <w:rPr>
          <w:rFonts w:ascii="Source Sans Pro" w:cs="Source Sans Pro" w:eastAsia="Source Sans Pro" w:hAnsi="Source Sans Pro"/>
          <w:b w:val="1"/>
          <w:rtl w:val="0"/>
        </w:rPr>
        <w:t xml:space="preserve">Support remote hub work, such as databasing, communications, or social media</w:t>
      </w:r>
    </w:p>
    <w:p w:rsidR="00000000" w:rsidDel="00000000" w:rsidP="00000000" w:rsidRDefault="00000000" w:rsidRPr="00000000" w14:paraId="00000023">
      <w:pPr>
        <w:pageBreakBefore w:val="0"/>
        <w:numPr>
          <w:ilvl w:val="0"/>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Donating to support specific efforts</w:t>
      </w:r>
      <w:r w:rsidDel="00000000" w:rsidR="00000000" w:rsidRPr="00000000">
        <w:rPr>
          <w:rFonts w:ascii="Source Sans Pro" w:cs="Source Sans Pro" w:eastAsia="Source Sans Pro" w:hAnsi="Source Sans Pro"/>
          <w:rtl w:val="0"/>
        </w:rPr>
        <w:t xml:space="preserve">, such as legal fees associated with an escalated action or mutual aid following a disaster. </w:t>
      </w:r>
    </w:p>
    <w:p w:rsidR="00000000" w:rsidDel="00000000" w:rsidP="00000000" w:rsidRDefault="00000000" w:rsidRPr="00000000" w14:paraId="00000024">
      <w:pPr>
        <w:pageBreakBefore w:val="0"/>
        <w:rPr>
          <w:rFonts w:ascii="Source Sans Pro" w:cs="Source Sans Pro" w:eastAsia="Source Sans Pro" w:hAnsi="Source Sans Pro"/>
        </w:rPr>
      </w:pPr>
      <w:r w:rsidDel="00000000" w:rsidR="00000000" w:rsidRPr="00000000">
        <w:rPr>
          <w:rtl w:val="0"/>
        </w:rPr>
      </w:r>
    </w:p>
    <w:bookmarkStart w:colFirst="0" w:colLast="0" w:name="foxb3pcb0os6" w:id="4"/>
    <w:bookmarkEnd w:id="4"/>
    <w:p w:rsidR="00000000" w:rsidDel="00000000" w:rsidP="00000000" w:rsidRDefault="00000000" w:rsidRPr="00000000" w14:paraId="00000025">
      <w:pPr>
        <w:pageBreakBefore w:val="0"/>
        <w:ind w:left="720" w:firstLine="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High-engagement ways for folks to stay involved include:</w:t>
      </w:r>
    </w:p>
    <w:p w:rsidR="00000000" w:rsidDel="00000000" w:rsidP="00000000" w:rsidRDefault="00000000" w:rsidRPr="00000000" w14:paraId="00000026">
      <w:pPr>
        <w:pageBreakBefore w:val="0"/>
        <w:numPr>
          <w:ilvl w:val="0"/>
          <w:numId w:val="4"/>
        </w:numPr>
        <w:ind w:left="144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Planning Actions</w:t>
      </w:r>
    </w:p>
    <w:p w:rsidR="00000000" w:rsidDel="00000000" w:rsidP="00000000" w:rsidRDefault="00000000" w:rsidRPr="00000000" w14:paraId="00000027">
      <w:pPr>
        <w:pageBreakBefore w:val="0"/>
        <w:numPr>
          <w:ilvl w:val="1"/>
          <w:numId w:val="4"/>
        </w:numPr>
        <w:ind w:left="216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A great way to absorb your electoral volunteers into long term organizing with your hub is by planning a post-election event. Various events can include an escalated political confrontation, a training, a series of one-on-ones (1:1,) or a mass hub meeting.</w:t>
      </w:r>
    </w:p>
    <w:p w:rsidR="00000000" w:rsidDel="00000000" w:rsidP="00000000" w:rsidRDefault="00000000" w:rsidRPr="00000000" w14:paraId="00000028">
      <w:pPr>
        <w:pageBreakBefore w:val="0"/>
        <w:numPr>
          <w:ilvl w:val="2"/>
          <w:numId w:val="4"/>
        </w:numPr>
        <w:ind w:left="288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If you want to plan an escalated action be sure to check out these resources:</w:t>
        <w:br w:type="textWrapping"/>
      </w:r>
      <w:hyperlink r:id="rId9">
        <w:r w:rsidDel="00000000" w:rsidR="00000000" w:rsidRPr="00000000">
          <w:rPr>
            <w:rFonts w:ascii="Source Sans Pro" w:cs="Source Sans Pro" w:eastAsia="Source Sans Pro" w:hAnsi="Source Sans Pro"/>
            <w:color w:val="1155cc"/>
            <w:u w:val="single"/>
            <w:rtl w:val="0"/>
          </w:rPr>
          <w:t xml:space="preserve">Action Plan Template</w:t>
        </w:r>
      </w:hyperlink>
      <w:r w:rsidDel="00000000" w:rsidR="00000000" w:rsidRPr="00000000">
        <w:rPr>
          <w:rFonts w:ascii="Source Sans Pro" w:cs="Source Sans Pro" w:eastAsia="Source Sans Pro" w:hAnsi="Source Sans Pro"/>
          <w:rtl w:val="0"/>
        </w:rPr>
        <w:br w:type="textWrapping"/>
      </w:r>
      <w:hyperlink r:id="rId10">
        <w:r w:rsidDel="00000000" w:rsidR="00000000" w:rsidRPr="00000000">
          <w:rPr>
            <w:rFonts w:ascii="Source Sans Pro" w:cs="Source Sans Pro" w:eastAsia="Source Sans Pro" w:hAnsi="Source Sans Pro"/>
            <w:color w:val="1155cc"/>
            <w:u w:val="single"/>
            <w:rtl w:val="0"/>
          </w:rPr>
          <w:t xml:space="preserve">Taking Action As Sunrise</w:t>
        </w:r>
      </w:hyperlink>
      <w:r w:rsidDel="00000000" w:rsidR="00000000" w:rsidRPr="00000000">
        <w:rPr>
          <w:rFonts w:ascii="Source Sans Pro" w:cs="Source Sans Pro" w:eastAsia="Source Sans Pro" w:hAnsi="Source Sans Pro"/>
          <w:rtl w:val="0"/>
        </w:rPr>
        <w:br w:type="textWrapping"/>
      </w:r>
      <w:hyperlink r:id="rId11">
        <w:r w:rsidDel="00000000" w:rsidR="00000000" w:rsidRPr="00000000">
          <w:rPr>
            <w:rFonts w:ascii="Source Sans Pro" w:cs="Source Sans Pro" w:eastAsia="Source Sans Pro" w:hAnsi="Source Sans Pro"/>
            <w:color w:val="1155cc"/>
            <w:u w:val="single"/>
            <w:rtl w:val="0"/>
          </w:rPr>
          <w:t xml:space="preserve">Birddogging Guide</w:t>
        </w:r>
      </w:hyperlink>
      <w:r w:rsidDel="00000000" w:rsidR="00000000" w:rsidRPr="00000000">
        <w:rPr>
          <w:rFonts w:ascii="Source Sans Pro" w:cs="Source Sans Pro" w:eastAsia="Source Sans Pro" w:hAnsi="Source Sans Pro"/>
          <w:rtl w:val="0"/>
        </w:rPr>
        <w:br w:type="textWrapping"/>
      </w:r>
      <w:hyperlink r:id="rId12">
        <w:r w:rsidDel="00000000" w:rsidR="00000000" w:rsidRPr="00000000">
          <w:rPr>
            <w:rFonts w:ascii="Source Sans Pro" w:cs="Source Sans Pro" w:eastAsia="Source Sans Pro" w:hAnsi="Source Sans Pro"/>
            <w:color w:val="1155cc"/>
            <w:u w:val="single"/>
            <w:rtl w:val="0"/>
          </w:rPr>
          <w:t xml:space="preserve">Tools Under “Escalation/Action” of the Hub Resources</w:t>
        </w:r>
      </w:hyperlink>
      <w:r w:rsidDel="00000000" w:rsidR="00000000" w:rsidRPr="00000000">
        <w:rPr>
          <w:rFonts w:ascii="Source Sans Pro" w:cs="Source Sans Pro" w:eastAsia="Source Sans Pro" w:hAnsi="Source Sans Pro"/>
          <w:rtl w:val="0"/>
        </w:rPr>
        <w:br w:type="textWrapping"/>
        <w:t xml:space="preserve">#Taking-direct-action slack channel</w:t>
      </w:r>
    </w:p>
    <w:p w:rsidR="00000000" w:rsidDel="00000000" w:rsidP="00000000" w:rsidRDefault="00000000" w:rsidRPr="00000000" w14:paraId="00000029">
      <w:pPr>
        <w:pageBreakBefore w:val="0"/>
        <w:numPr>
          <w:ilvl w:val="0"/>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Attending Trainings </w:t>
      </w:r>
      <w:r w:rsidDel="00000000" w:rsidR="00000000" w:rsidRPr="00000000">
        <w:rPr>
          <w:rFonts w:ascii="Source Sans Pro" w:cs="Source Sans Pro" w:eastAsia="Source Sans Pro" w:hAnsi="Source Sans Pro"/>
          <w:rtl w:val="0"/>
        </w:rPr>
        <w:t xml:space="preserve">(or becoming a trainer or logistics lead at one!)</w:t>
      </w:r>
    </w:p>
    <w:p w:rsidR="00000000" w:rsidDel="00000000" w:rsidP="00000000" w:rsidRDefault="00000000" w:rsidRPr="00000000" w14:paraId="0000002A">
      <w:pPr>
        <w:pageBreakBefore w:val="0"/>
        <w:numPr>
          <w:ilvl w:val="1"/>
          <w:numId w:val="4"/>
        </w:numPr>
        <w:ind w:left="216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If you’re interested in hosting a training fill out the </w:t>
      </w:r>
      <w:hyperlink r:id="rId13">
        <w:r w:rsidDel="00000000" w:rsidR="00000000" w:rsidRPr="00000000">
          <w:rPr>
            <w:rFonts w:ascii="Source Sans Pro" w:cs="Source Sans Pro" w:eastAsia="Source Sans Pro" w:hAnsi="Source Sans Pro"/>
            <w:color w:val="1155cc"/>
            <w:u w:val="single"/>
            <w:rtl w:val="0"/>
          </w:rPr>
          <w:t xml:space="preserve">Training Support Request Form</w:t>
        </w:r>
      </w:hyperlink>
      <w:r w:rsidDel="00000000" w:rsidR="00000000" w:rsidRPr="00000000">
        <w:rPr>
          <w:rFonts w:ascii="Source Sans Pro" w:cs="Source Sans Pro" w:eastAsia="Source Sans Pro" w:hAnsi="Source Sans Pro"/>
          <w:rtl w:val="0"/>
        </w:rPr>
        <w:t xml:space="preserve">, or find a training near you at </w:t>
      </w:r>
      <w:hyperlink r:id="rId14">
        <w:r w:rsidDel="00000000" w:rsidR="00000000" w:rsidRPr="00000000">
          <w:rPr>
            <w:rFonts w:ascii="Source Sans Pro" w:cs="Source Sans Pro" w:eastAsia="Source Sans Pro" w:hAnsi="Source Sans Pro"/>
            <w:color w:val="1155cc"/>
            <w:u w:val="single"/>
            <w:rtl w:val="0"/>
          </w:rPr>
          <w:t xml:space="preserve">sunrisemovement.org/trainings</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B">
      <w:pPr>
        <w:pageBreakBefore w:val="0"/>
        <w:numPr>
          <w:ilvl w:val="0"/>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Helping Plan Hub Meetings</w:t>
      </w:r>
    </w:p>
    <w:p w:rsidR="00000000" w:rsidDel="00000000" w:rsidP="00000000" w:rsidRDefault="00000000" w:rsidRPr="00000000" w14:paraId="0000002C">
      <w:pPr>
        <w:pageBreakBefore w:val="0"/>
        <w:numPr>
          <w:ilvl w:val="1"/>
          <w:numId w:val="4"/>
        </w:numPr>
        <w:ind w:left="216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If you want to plan a meeting check out these resources!</w:t>
      </w:r>
    </w:p>
    <w:p w:rsidR="00000000" w:rsidDel="00000000" w:rsidP="00000000" w:rsidRDefault="00000000" w:rsidRPr="00000000" w14:paraId="0000002D">
      <w:pPr>
        <w:pageBreakBefore w:val="0"/>
        <w:numPr>
          <w:ilvl w:val="2"/>
          <w:numId w:val="4"/>
        </w:numPr>
        <w:ind w:left="2880" w:hanging="360"/>
        <w:rPr>
          <w:rFonts w:ascii="Source Sans Pro" w:cs="Source Sans Pro" w:eastAsia="Source Sans Pro" w:hAnsi="Source Sans Pro"/>
          <w:u w:val="none"/>
        </w:rPr>
      </w:pPr>
      <w:hyperlink r:id="rId15">
        <w:r w:rsidDel="00000000" w:rsidR="00000000" w:rsidRPr="00000000">
          <w:rPr>
            <w:rFonts w:ascii="Source Sans Pro" w:cs="Source Sans Pro" w:eastAsia="Source Sans Pro" w:hAnsi="Source Sans Pro"/>
            <w:color w:val="1155cc"/>
            <w:u w:val="single"/>
            <w:rtl w:val="0"/>
          </w:rPr>
          <w:t xml:space="preserve">Open Meeting Guide</w:t>
        </w:r>
      </w:hyperlink>
      <w:r w:rsidDel="00000000" w:rsidR="00000000" w:rsidRPr="00000000">
        <w:rPr>
          <w:rFonts w:ascii="Source Sans Pro" w:cs="Source Sans Pro" w:eastAsia="Source Sans Pro" w:hAnsi="Source Sans Pro"/>
          <w:rtl w:val="0"/>
        </w:rPr>
        <w:t xml:space="preserve"> (From the 12/6 strikes but the procedures are the same!)</w:t>
      </w:r>
    </w:p>
    <w:p w:rsidR="00000000" w:rsidDel="00000000" w:rsidP="00000000" w:rsidRDefault="00000000" w:rsidRPr="00000000" w14:paraId="0000002E">
      <w:pPr>
        <w:pageBreakBefore w:val="0"/>
        <w:numPr>
          <w:ilvl w:val="2"/>
          <w:numId w:val="4"/>
        </w:numPr>
        <w:ind w:left="2880" w:hanging="360"/>
        <w:rPr>
          <w:rFonts w:ascii="Source Sans Pro" w:cs="Source Sans Pro" w:eastAsia="Source Sans Pro" w:hAnsi="Source Sans Pro"/>
          <w:u w:val="none"/>
        </w:rPr>
      </w:pPr>
      <w:hyperlink r:id="rId16">
        <w:r w:rsidDel="00000000" w:rsidR="00000000" w:rsidRPr="00000000">
          <w:rPr>
            <w:rFonts w:ascii="Source Sans Pro" w:cs="Source Sans Pro" w:eastAsia="Source Sans Pro" w:hAnsi="Source Sans Pro"/>
            <w:color w:val="1155cc"/>
            <w:u w:val="single"/>
            <w:rtl w:val="0"/>
          </w:rPr>
          <w:t xml:space="preserve">Kick-off Meeting Script &amp; General Meeting agenda</w:t>
        </w:r>
      </w:hyperlink>
      <w:r w:rsidDel="00000000" w:rsidR="00000000" w:rsidRPr="00000000">
        <w:rPr>
          <w:rtl w:val="0"/>
        </w:rPr>
      </w:r>
    </w:p>
    <w:p w:rsidR="00000000" w:rsidDel="00000000" w:rsidP="00000000" w:rsidRDefault="00000000" w:rsidRPr="00000000" w14:paraId="0000002F">
      <w:pPr>
        <w:pageBreakBefore w:val="0"/>
        <w:numPr>
          <w:ilvl w:val="0"/>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Taking on a Leadership Role in your Hub</w:t>
      </w:r>
    </w:p>
    <w:p w:rsidR="00000000" w:rsidDel="00000000" w:rsidP="00000000" w:rsidRDefault="00000000" w:rsidRPr="00000000" w14:paraId="00000030">
      <w:pPr>
        <w:pageBreakBefore w:val="0"/>
        <w:numPr>
          <w:ilvl w:val="1"/>
          <w:numId w:val="4"/>
        </w:numPr>
        <w:ind w:left="216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It’s your hub--you know best where someone could take on more leadership. </w:t>
        <w:br w:type="textWrapping"/>
        <w:br w:type="textWrapping"/>
      </w:r>
      <w:r w:rsidDel="00000000" w:rsidR="00000000" w:rsidRPr="00000000">
        <w:rPr>
          <w:rtl w:val="0"/>
        </w:rPr>
      </w:r>
    </w:p>
    <w:sectPr>
      <w:head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ageBreakBefore w:val="0"/>
      <w:jc w:val="right"/>
      <w:rPr>
        <w:rFonts w:ascii="Source Sans Pro" w:cs="Source Sans Pro" w:eastAsia="Source Sans Pro" w:hAnsi="Source Sans Pro"/>
        <w:b w:val="1"/>
      </w:rPr>
    </w:pPr>
    <w:r w:rsidDel="00000000" w:rsidR="00000000" w:rsidRPr="00000000">
      <w:rPr/>
      <w:drawing>
        <wp:inline distB="114300" distT="114300" distL="114300" distR="114300">
          <wp:extent cx="627114" cy="7477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27114" cy="74771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K_W-sYIH_ZM-4EICGGcV0Kt3RXKUa5y8pDDIqWtFdtY/edit" TargetMode="External"/><Relationship Id="rId10" Type="http://schemas.openxmlformats.org/officeDocument/2006/relationships/hyperlink" Target="https://docs.google.com/document/d/17LfHzKQqvZMOQDB2rNQ1oOxI60adXW7jmez5coHUuMU/edit" TargetMode="External"/><Relationship Id="rId13" Type="http://schemas.openxmlformats.org/officeDocument/2006/relationships/hyperlink" Target="https://docs.google.com/forms/d/e/1FAIpQLSd_6S4nxL8GG1LiGJj_VbihyH2wqJGhw_2xc--lEVzewz21eA/viewform" TargetMode="External"/><Relationship Id="rId12" Type="http://schemas.openxmlformats.org/officeDocument/2006/relationships/hyperlink" Target="https://docs.google.com/document/d/17oIvkqw-SjjW8S2iKjvdA0nSJBTNZwX3tyPpFBk0jZg/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UtRuYjRanquBwfQE6r0MODL_157qlKORfVuh-EDLBk4/edit?usp=sharing" TargetMode="External"/><Relationship Id="rId15" Type="http://schemas.openxmlformats.org/officeDocument/2006/relationships/hyperlink" Target="https://docs.google.com/document/d/1zv6-Y7i5TeTrRFqhCVcz_cWb_Pcx7p8yDNSY27LiKf8/edit" TargetMode="External"/><Relationship Id="rId14" Type="http://schemas.openxmlformats.org/officeDocument/2006/relationships/hyperlink" Target="https://www.sunrisemovement.org/trainings" TargetMode="External"/><Relationship Id="rId17" Type="http://schemas.openxmlformats.org/officeDocument/2006/relationships/header" Target="header1.xml"/><Relationship Id="rId16" Type="http://schemas.openxmlformats.org/officeDocument/2006/relationships/hyperlink" Target="https://docs.google.com/document/d/1_w4RWJAS3pl18K_EJ9CdW6Q4T4A1wZPQCvKrEnVrs00/edit" TargetMode="External"/><Relationship Id="rId5" Type="http://schemas.openxmlformats.org/officeDocument/2006/relationships/styles" Target="styles.xml"/><Relationship Id="rId6" Type="http://schemas.openxmlformats.org/officeDocument/2006/relationships/hyperlink" Target="https://docs.google.com/document/d/1gs-ON3Z2TJRMTbvzm3bG4hWKF7_3frtR3ivkZgXeIJE/edit" TargetMode="External"/><Relationship Id="rId7" Type="http://schemas.openxmlformats.org/officeDocument/2006/relationships/hyperlink" Target="https://docs.google.com/document/d/1XshBit7ExPMFEGJZn7yZkixqjyL-2s1vpyzIHSc26x4/edit" TargetMode="External"/><Relationship Id="rId8" Type="http://schemas.openxmlformats.org/officeDocument/2006/relationships/hyperlink" Target="https://trainings.350.org/resource/increase-your-volunteers-involvemen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